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060/001/2022/01221/U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5"/>
        <w:gridCol w:w="1566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kód:32324000-0, 30231200-9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18"/>
                <w:szCs w:val="18"/>
                <w:lang w:val="sk-SK" w:eastAsia="zh-CN" w:bidi="ar-SA"/>
              </w:rPr>
              <w:t>PHILIPS 43PFS5505   108cm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18"/>
                <w:szCs w:val="18"/>
                <w:lang w:val="sk-SK" w:eastAsia="zh-CN" w:bidi="ar-SA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Konzola pevná na stenu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  <w:t>LDCH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 7.6.2022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10.6.2022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3"/>
      <w:gridCol w:w="1851"/>
    </w:tblGrid>
    <w:tr>
      <w:trPr>
        <w:trHeight w:val="340" w:hRule="atLeast"/>
      </w:trPr>
      <w:tc>
        <w:tcPr>
          <w:tcW w:w="8355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1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3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1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LibreOffice/7.0.0.3$Windows_X86_64 LibreOffice_project/8061b3e9204bef6b321a21033174034a5e2ea88e</Application>
  <Pages>2</Pages>
  <Words>202</Words>
  <Characters>1324</Characters>
  <CharactersWithSpaces>1519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2022-06-07T11:12:16Z</cp:lastPrinted>
  <dcterms:modified xsi:type="dcterms:W3CDTF">2022-06-07T11:15:43Z</dcterms:modified>
  <cp:revision>13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