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D65F73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0139D9">
        <w:rPr>
          <w:rFonts w:eastAsia="Times New Roman"/>
          <w:b/>
          <w:bCs/>
          <w:color w:val="040404"/>
        </w:rPr>
        <w:t>2</w:t>
      </w:r>
      <w:r w:rsidR="00815DE6">
        <w:rPr>
          <w:rFonts w:eastAsia="Times New Roman"/>
          <w:b/>
          <w:bCs/>
          <w:color w:val="040404"/>
        </w:rPr>
        <w:t>3</w:t>
      </w:r>
      <w:r w:rsidR="003D51DC">
        <w:rPr>
          <w:rFonts w:eastAsia="Times New Roman"/>
          <w:b/>
          <w:bCs/>
          <w:color w:val="040404"/>
        </w:rPr>
        <w:t>67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9C8415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2802AFC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9FDC0B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6D7FF89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960F6A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772DB53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35D21EF" w:rsidR="00AB5771" w:rsidRPr="00F13346" w:rsidRDefault="00D16108" w:rsidP="009F1AB0">
            <w:pPr>
              <w:rPr>
                <w:sz w:val="22"/>
                <w:szCs w:val="22"/>
              </w:rPr>
            </w:pPr>
            <w:r w:rsidRPr="00D16108">
              <w:rPr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E689E6F" w:rsidR="003635B4" w:rsidRPr="00F13346" w:rsidRDefault="00D1610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92A2FE0" w:rsidR="003635B4" w:rsidRPr="00F13346" w:rsidRDefault="00D16108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A59931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C606D9A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C54CD9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DEF4B44" w:rsidR="009012AF" w:rsidRPr="00F13346" w:rsidRDefault="00D16108" w:rsidP="009012AF">
            <w:pPr>
              <w:rPr>
                <w:sz w:val="22"/>
                <w:szCs w:val="22"/>
              </w:rPr>
            </w:pPr>
            <w:r w:rsidRPr="00D16108">
              <w:rPr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43AF939" w:rsidR="009012AF" w:rsidRPr="00F13346" w:rsidRDefault="00D16108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58515A9" w:rsidR="009012AF" w:rsidRPr="00F13346" w:rsidRDefault="00D16108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BCE0685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0B49BE9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96C097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0717239" w:rsidR="000139D9" w:rsidRPr="00F13346" w:rsidRDefault="00D16108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DB Pena nízkoexp. Pištoľ PROFI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DD5CE02" w:rsidR="009012AF" w:rsidRPr="00F13346" w:rsidRDefault="00D1610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DE4B0B5" w:rsidR="009012AF" w:rsidRPr="00F13346" w:rsidRDefault="00D1610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50E49F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EF2D62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9DD041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1DA37A6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FIS Hmoždinka DUOPOWER 8x65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95C0E15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DCD6379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3771E6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EA2B7E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037902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66BD1918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Rukavice blister modré veľ.9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6B951F0E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13A22AFF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3021644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585781F4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7BD5E8F9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1A2B6AEE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Kotúč diamant 230x22,5mm betón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EB1F06D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58DEC6D0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678506D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571F517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C0FD9B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1D762C43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BS Brúska uhlová GWS 24-230 JH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598CC37B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6CA79FED" w:rsidR="00A97631" w:rsidRPr="00F13346" w:rsidRDefault="00D16108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2F2E2EB8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6A7D1F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756534CF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50A5D032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1B259658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3EFBB6F0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52A39AB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6DF106ED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19C321B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6A60773B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CEMIX vnútorný štuk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7F4E7675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7B86CC60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593C2F3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6ACD18C5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69728E6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3C1E279E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DB Stavebná sadra 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7D5B87D7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0A70F218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386CFB01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3D5D1EA2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74ECD96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71795B8C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KCS Savanna Board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2543193B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57,60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42A35497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6AEAC56C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6185F3E7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47E61A26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97631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A97631" w:rsidRPr="00F13346" w:rsidRDefault="00A97631" w:rsidP="00A976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5AAB930D" w:rsidR="00A97631" w:rsidRPr="00F13346" w:rsidRDefault="00D16108" w:rsidP="00A97631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KCS SYSTEM S profil hlavný 24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4CEC5568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1955711" w:rsidR="00A97631" w:rsidRPr="00F13346" w:rsidRDefault="00452F54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493B474E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0A325D8B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4BA4BEA3" w:rsidR="00A97631" w:rsidRPr="00F13346" w:rsidRDefault="00A97631" w:rsidP="00A976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452F54" w:rsidRPr="00F13346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40D97817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71E0D3C8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5929A028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2CF20C27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5CC9040A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26ACE59A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52F54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452F54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67F63AA9" w:rsidR="00452F54" w:rsidRPr="00F13346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KCS profil stenový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44CBA841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4828D968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6FB17E19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10F3AFF2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2996958B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452F54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5757FEF4" w:rsidR="00452F54" w:rsidRPr="00F13346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KCS SYSTEM S profil priečny 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559C1ACC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14CE7404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5C516E0A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2AE63379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073F8537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452F54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77D04F42" w:rsidR="00452F54" w:rsidRPr="00F13346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KCS SYSTEM S profil priečny 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24E8B1D8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4046E531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1E85616C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3F684755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3AF7619B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452F54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20ABC6CB" w:rsidR="00452F54" w:rsidRPr="00F13346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BEK Závesný pružný kolík 8x40mm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135908B3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0E534C87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4096A375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0CE176C9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7DF72208" w:rsidR="00452F54" w:rsidRPr="00F13346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35CE32CD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1077F34B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BEK dvojpero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798C370F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05647570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5B5EEE4F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557A997B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022B62D1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5A22E2BF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1AE6AB60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BEK Drôt s hákom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510DA139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0FBF9419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3AC16912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02E588E5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63E92962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6F1A086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BC86" w14:textId="7BD0661E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642E" w14:textId="4F4123AB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WEBER VERTEX mriežka sklenné vlákno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0A28" w14:textId="4E1E5135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8B61" w14:textId="52C0D563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E2FB" w14:textId="12EE6182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6964" w14:textId="024E5A64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C943" w14:textId="28E8B401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7AC69C6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0574" w14:textId="18AC9B5A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1479" w14:textId="2C16667E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DB Tmel silikón akrylový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3DEB" w14:textId="306BAA99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6A05" w14:textId="21F7CBD4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E8DA" w14:textId="2C494C1C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E562" w14:textId="76CCDD0E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9E9" w14:textId="5E1F6E07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120ABC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F13F" w14:textId="29C1C7D6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D914" w14:textId="6B239982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BT Sekera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89EA" w14:textId="2D7C6BC0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B1F2" w14:textId="416601F2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5E3" w14:textId="216DA4EB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6830" w14:textId="0ED1CB37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F883" w14:textId="12F9A8EA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56CC4B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6E5B" w14:textId="27A5B945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68A2" w14:textId="0FEB4A46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ST Nôž FatMax kovový s odla čepeľou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E4F3" w14:textId="193E791F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E671" w14:textId="117BCFA4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E50" w14:textId="1FB3D6A9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64EC" w14:textId="2A29C694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6DC0" w14:textId="065C9E19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6E54642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09CE" w14:textId="7FAF6D13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1CC5" w14:textId="68A495C6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CE Čepele ulam.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9201" w14:textId="0CB961F9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DB13" w14:textId="3F29AB4B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2FE8" w14:textId="6D35BBE2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CC679" w14:textId="747FFDBA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FF14" w14:textId="513EE264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099D2A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12DE" w14:textId="3D59FF55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9037" w14:textId="2B93ED46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CE Čepele ulam. 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3EFB" w14:textId="3EF03A6A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1B71" w14:textId="20C5F83E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AC6C" w14:textId="774A3E5A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7411" w14:textId="5CB71916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78EF" w14:textId="4175BBEC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1D8F47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A8E2" w14:textId="17A9BF90" w:rsidR="00452F54" w:rsidRPr="00E25168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D646" w14:textId="2C579881" w:rsidR="00452F54" w:rsidRPr="00B14924" w:rsidRDefault="00452F54" w:rsidP="00452F54">
            <w:pPr>
              <w:snapToGrid w:val="0"/>
              <w:rPr>
                <w:color w:val="040404"/>
                <w:sz w:val="22"/>
                <w:szCs w:val="22"/>
              </w:rPr>
            </w:pPr>
            <w:r w:rsidRPr="00D16108">
              <w:rPr>
                <w:color w:val="040404"/>
                <w:sz w:val="22"/>
                <w:szCs w:val="22"/>
              </w:rPr>
              <w:t>Profil okenný APU 6mm so sieťkou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EBC2" w14:textId="43CAFF0A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5163" w14:textId="65D13099" w:rsidR="00452F54" w:rsidRPr="00AD0E94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099E" w14:textId="3D2B633D" w:rsidR="00452F54" w:rsidRPr="0014365C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FD9E" w14:textId="1964700D" w:rsidR="00452F54" w:rsidRPr="003B6A33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CC2" w14:textId="7646E8F8" w:rsidR="00452F54" w:rsidRPr="00543251" w:rsidRDefault="00452F54" w:rsidP="00452F5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52F54" w:rsidRPr="00F13346" w14:paraId="34187FD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162C" w14:textId="77777777" w:rsidR="00452F54" w:rsidRDefault="00452F54" w:rsidP="00452F54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7DE8" w14:textId="75C0B678" w:rsidR="00452F54" w:rsidRPr="00F137F7" w:rsidRDefault="00452F54" w:rsidP="00452F5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F137F7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2B02" w14:textId="77777777" w:rsidR="00452F54" w:rsidRPr="00F137F7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E423" w14:textId="77777777" w:rsidR="00452F54" w:rsidRPr="00F137F7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6E8A8" w14:textId="114545E1" w:rsidR="00452F54" w:rsidRPr="00F137F7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85BFC" w14:textId="1E67DAE5" w:rsidR="00452F54" w:rsidRPr="00F137F7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9C0C" w14:textId="448ADDB2" w:rsidR="00452F54" w:rsidRPr="00F137F7" w:rsidRDefault="00452F54" w:rsidP="00452F5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52F5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452F54" w:rsidRPr="00F13346" w:rsidRDefault="00452F54" w:rsidP="00452F5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52F5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452F54" w:rsidRPr="00F13346" w:rsidRDefault="00452F54" w:rsidP="00452F5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452F54" w:rsidRPr="00F13346" w:rsidRDefault="00452F54" w:rsidP="00452F54"/>
        </w:tc>
      </w:tr>
      <w:tr w:rsidR="00452F5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452F54" w:rsidRPr="00F13346" w:rsidRDefault="00452F54" w:rsidP="00452F5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52F5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452F54" w:rsidRPr="00F13346" w:rsidRDefault="00452F54" w:rsidP="00452F5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452F54" w:rsidRPr="00F13346" w:rsidRDefault="00452F54" w:rsidP="00452F54">
            <w:pPr>
              <w:rPr>
                <w:color w:val="040404"/>
                <w:sz w:val="20"/>
              </w:rPr>
            </w:pPr>
          </w:p>
          <w:p w14:paraId="078EF135" w14:textId="77777777" w:rsidR="00452F54" w:rsidRPr="00F13346" w:rsidRDefault="00452F54" w:rsidP="00452F54">
            <w:pPr>
              <w:rPr>
                <w:color w:val="040404"/>
                <w:sz w:val="20"/>
              </w:rPr>
            </w:pPr>
          </w:p>
          <w:p w14:paraId="11C844C4" w14:textId="77777777" w:rsidR="00452F54" w:rsidRPr="00F13346" w:rsidRDefault="00452F54" w:rsidP="00452F54">
            <w:pPr>
              <w:rPr>
                <w:color w:val="040404"/>
                <w:sz w:val="20"/>
              </w:rPr>
            </w:pPr>
          </w:p>
          <w:p w14:paraId="4B02C3C2" w14:textId="6DD36DFB" w:rsidR="00452F54" w:rsidRPr="00F13346" w:rsidRDefault="00452F54" w:rsidP="00452F5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452F54" w:rsidRPr="00F13346" w:rsidRDefault="00452F54" w:rsidP="00452F5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452F54" w:rsidRPr="00F13346" w:rsidRDefault="00452F54" w:rsidP="00452F54">
            <w:r w:rsidRPr="00F13346">
              <w:rPr>
                <w:sz w:val="20"/>
              </w:rPr>
              <w:t>Mgr. Eduard Dorčík</w:t>
            </w:r>
          </w:p>
          <w:p w14:paraId="613CD517" w14:textId="77777777" w:rsidR="00452F54" w:rsidRPr="00F13346" w:rsidRDefault="00452F54" w:rsidP="00452F5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452F54" w:rsidRPr="00F13346" w:rsidRDefault="00452F54" w:rsidP="00452F54">
            <w:pPr>
              <w:rPr>
                <w:sz w:val="20"/>
              </w:rPr>
            </w:pPr>
          </w:p>
          <w:p w14:paraId="35B7C034" w14:textId="77777777" w:rsidR="00452F54" w:rsidRDefault="00452F54" w:rsidP="00452F5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60F6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07.10.2022</w:t>
            </w:r>
          </w:p>
          <w:p w14:paraId="09857ABE" w14:textId="50FE2B02" w:rsidR="00960F6A" w:rsidRPr="00F13346" w:rsidRDefault="00960F6A" w:rsidP="00452F54">
            <w:r>
              <w:rPr>
                <w:sz w:val="20"/>
              </w:rPr>
              <w:t>Termín predloženia CP: 07.11.2022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F375" w14:textId="77777777" w:rsidR="00B36828" w:rsidRDefault="00B36828">
      <w:r>
        <w:separator/>
      </w:r>
    </w:p>
  </w:endnote>
  <w:endnote w:type="continuationSeparator" w:id="0">
    <w:p w14:paraId="063A4896" w14:textId="77777777" w:rsidR="00B36828" w:rsidRDefault="00B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56BF" w14:textId="77777777" w:rsidR="00B36828" w:rsidRDefault="00B36828">
      <w:r>
        <w:separator/>
      </w:r>
    </w:p>
  </w:footnote>
  <w:footnote w:type="continuationSeparator" w:id="0">
    <w:p w14:paraId="77874426" w14:textId="77777777" w:rsidR="00B36828" w:rsidRDefault="00B3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39D9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C1581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12733"/>
    <w:rsid w:val="00221030"/>
    <w:rsid w:val="00274C25"/>
    <w:rsid w:val="0028508F"/>
    <w:rsid w:val="00287EA9"/>
    <w:rsid w:val="002D494E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B6A33"/>
    <w:rsid w:val="003C08F1"/>
    <w:rsid w:val="003D2E85"/>
    <w:rsid w:val="003D51DC"/>
    <w:rsid w:val="003E09EC"/>
    <w:rsid w:val="003E4C46"/>
    <w:rsid w:val="00411D73"/>
    <w:rsid w:val="0043602A"/>
    <w:rsid w:val="00452F54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44AE"/>
    <w:rsid w:val="005260F0"/>
    <w:rsid w:val="00532674"/>
    <w:rsid w:val="005332C1"/>
    <w:rsid w:val="0054325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4D18"/>
    <w:rsid w:val="006A529E"/>
    <w:rsid w:val="006B43AE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54825"/>
    <w:rsid w:val="0077211B"/>
    <w:rsid w:val="00794139"/>
    <w:rsid w:val="007B607D"/>
    <w:rsid w:val="007C4FB4"/>
    <w:rsid w:val="00815DE6"/>
    <w:rsid w:val="00830EAD"/>
    <w:rsid w:val="0084665F"/>
    <w:rsid w:val="008500E5"/>
    <w:rsid w:val="008927A0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0F6A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169F6"/>
    <w:rsid w:val="00A32FA4"/>
    <w:rsid w:val="00A33DE5"/>
    <w:rsid w:val="00A51A07"/>
    <w:rsid w:val="00A97631"/>
    <w:rsid w:val="00AB5771"/>
    <w:rsid w:val="00AD0E94"/>
    <w:rsid w:val="00AD1BA4"/>
    <w:rsid w:val="00AD2DA6"/>
    <w:rsid w:val="00AE7245"/>
    <w:rsid w:val="00B14924"/>
    <w:rsid w:val="00B173A1"/>
    <w:rsid w:val="00B2468B"/>
    <w:rsid w:val="00B36828"/>
    <w:rsid w:val="00B417A1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B47B9"/>
    <w:rsid w:val="00CD493C"/>
    <w:rsid w:val="00CF0808"/>
    <w:rsid w:val="00CF28A2"/>
    <w:rsid w:val="00CF7268"/>
    <w:rsid w:val="00D16108"/>
    <w:rsid w:val="00D16C0C"/>
    <w:rsid w:val="00D2276A"/>
    <w:rsid w:val="00D31DA1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38F9"/>
    <w:rsid w:val="00DE746B"/>
    <w:rsid w:val="00E04356"/>
    <w:rsid w:val="00E22E43"/>
    <w:rsid w:val="00E25168"/>
    <w:rsid w:val="00E42DB6"/>
    <w:rsid w:val="00E54948"/>
    <w:rsid w:val="00E63D78"/>
    <w:rsid w:val="00E67B0E"/>
    <w:rsid w:val="00E863FA"/>
    <w:rsid w:val="00EA2F06"/>
    <w:rsid w:val="00EA6A95"/>
    <w:rsid w:val="00EB46CA"/>
    <w:rsid w:val="00EB5FA6"/>
    <w:rsid w:val="00EF5D60"/>
    <w:rsid w:val="00EF7835"/>
    <w:rsid w:val="00F0316A"/>
    <w:rsid w:val="00F06F3C"/>
    <w:rsid w:val="00F11DEE"/>
    <w:rsid w:val="00F13346"/>
    <w:rsid w:val="00F137F7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2463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2022-08-02T12:13:00Z</cp:lastPrinted>
  <dcterms:created xsi:type="dcterms:W3CDTF">2022-11-07T11:22:00Z</dcterms:created>
  <dcterms:modified xsi:type="dcterms:W3CDTF">2022-11-07T11:23:00Z</dcterms:modified>
</cp:coreProperties>
</file>