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31681C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FB4DF5">
        <w:rPr>
          <w:rFonts w:eastAsia="Times New Roman"/>
          <w:b/>
          <w:bCs/>
          <w:color w:val="040404"/>
        </w:rPr>
        <w:t>14</w:t>
      </w:r>
      <w:r w:rsidR="002814D2">
        <w:rPr>
          <w:rFonts w:eastAsia="Times New Roman"/>
          <w:b/>
          <w:bCs/>
          <w:color w:val="040404"/>
        </w:rPr>
        <w:t>97/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E416B2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257DA" w14:paraId="73F0EE37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23669015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257DA" w:rsidRDefault="00B257DA" w:rsidP="00B257DA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257DA" w:rsidRDefault="00B257DA" w:rsidP="00B257DA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257DA" w14:paraId="639E6FDA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30B23E3C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257DA" w14:paraId="1165142F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410A5E03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257DA" w14:paraId="39C208C1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5C5673D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257DA" w14:paraId="0793CD33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B257DA" w:rsidRDefault="00B257DA" w:rsidP="00B257DA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257DA" w14:paraId="6FBAB089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257DA" w:rsidRDefault="00B257DA" w:rsidP="00B257DA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257DA" w14:paraId="4BF473F7" w14:textId="77777777" w:rsidTr="00B257DA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1702DCC" w:rsidR="00B257DA" w:rsidRPr="00ED2BB0" w:rsidRDefault="00B257DA" w:rsidP="00B257D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1953F1" w:rsidRPr="001953F1">
              <w:rPr>
                <w:szCs w:val="20"/>
              </w:rPr>
              <w:t>34928110-2</w:t>
            </w:r>
          </w:p>
        </w:tc>
      </w:tr>
      <w:tr w:rsidR="00B257DA" w14:paraId="08109A3C" w14:textId="77777777" w:rsidTr="00B257DA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257DA" w:rsidRDefault="00B257DA" w:rsidP="00B257DA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257DA" w:rsidRDefault="00B257DA" w:rsidP="00B257DA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257DA" w:rsidRDefault="00000000" w:rsidP="00B257DA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257DA" w:rsidRPr="00CB24C2">
                <w:rPr>
                  <w:rStyle w:val="Hypertextovprepojenie"/>
                  <w:color w:val="auto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257DA" w14:paraId="26A909B9" w14:textId="77777777" w:rsidTr="00B257DA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257DA" w:rsidRDefault="00B257DA" w:rsidP="00B257DA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257DA" w14:paraId="1C8B9A65" w14:textId="77777777" w:rsidTr="00B257DA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257DA" w:rsidRDefault="00B257DA" w:rsidP="00B257D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257DA" w:rsidRDefault="00B257DA" w:rsidP="00B257D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257DA" w14:paraId="05BEF89E" w14:textId="77777777" w:rsidTr="00B257D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257DA" w:rsidRDefault="00B257DA" w:rsidP="00B257D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5A07C4F" w:rsidR="00B257DA" w:rsidRDefault="001953F1" w:rsidP="00B257D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B4DF5" w:rsidRPr="00FB4DF5">
              <w:rPr>
                <w:sz w:val="22"/>
                <w:szCs w:val="22"/>
              </w:rPr>
              <w:t>odanie hliníkové rameno HARMONY 80x45 dĺžka 3m reflexné nálepky, gumová ochranná lišta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564C800" w:rsidR="00B257DA" w:rsidRDefault="00FB4DF5" w:rsidP="00B257D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19244B6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47B8A9E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65EF8CD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1167A4F" w:rsidR="00B257DA" w:rsidRDefault="00B257DA" w:rsidP="00B257D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57DA" w14:paraId="087FF91B" w14:textId="77777777" w:rsidTr="00B257DA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B257DA" w:rsidRDefault="00B257DA" w:rsidP="00B257DA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257DA" w14:paraId="134BE0F1" w14:textId="77777777" w:rsidTr="00B257D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257DA" w:rsidRDefault="00B257DA" w:rsidP="00B257D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257DA" w:rsidRDefault="00B257DA" w:rsidP="00B257DA">
            <w:pPr>
              <w:widowControl w:val="0"/>
            </w:pPr>
          </w:p>
        </w:tc>
      </w:tr>
      <w:tr w:rsidR="00B257DA" w14:paraId="08DEE765" w14:textId="77777777" w:rsidTr="00B257DA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257DA" w:rsidRDefault="00B257DA" w:rsidP="00B257D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257DA" w14:paraId="1A783C05" w14:textId="77777777" w:rsidTr="00B257DA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257DA" w:rsidRDefault="00B257DA" w:rsidP="00B257D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257DA" w:rsidRDefault="00B257DA" w:rsidP="00B257D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257DA" w:rsidRDefault="00B257DA" w:rsidP="00B257D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B257DA" w:rsidRDefault="00B257DA" w:rsidP="00B257DA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B257DA" w:rsidRDefault="00B257DA" w:rsidP="00B257D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257DA" w:rsidRDefault="00B257DA" w:rsidP="00B257DA">
            <w:pPr>
              <w:widowControl w:val="0"/>
              <w:rPr>
                <w:sz w:val="20"/>
              </w:rPr>
            </w:pPr>
          </w:p>
          <w:p w14:paraId="6FAE040C" w14:textId="3EAAA2AB" w:rsidR="004E7355" w:rsidRDefault="004E7355" w:rsidP="004E735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.05.2024</w:t>
            </w:r>
          </w:p>
          <w:p w14:paraId="7217E9FB" w14:textId="0E408264" w:rsidR="00B257DA" w:rsidRPr="004E7355" w:rsidRDefault="004E7355" w:rsidP="00B257D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14.05.2024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E416B2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E416B2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E416B2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5446F760" w:rsidR="0049267F" w:rsidRDefault="00FB4DF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B257DA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B257DA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E416B2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E416B2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0F6B04F8" w:rsidR="0049267F" w:rsidRDefault="00FB4DF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9A043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9A043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2F10" w14:textId="77777777" w:rsidR="004E02B5" w:rsidRDefault="004E02B5">
      <w:r>
        <w:separator/>
      </w:r>
    </w:p>
  </w:endnote>
  <w:endnote w:type="continuationSeparator" w:id="0">
    <w:p w14:paraId="1C6DD401" w14:textId="77777777" w:rsidR="004E02B5" w:rsidRDefault="004E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DF0EF" w14:textId="77777777" w:rsidR="004E02B5" w:rsidRDefault="004E02B5">
      <w:r>
        <w:separator/>
      </w:r>
    </w:p>
  </w:footnote>
  <w:footnote w:type="continuationSeparator" w:id="0">
    <w:p w14:paraId="36AED076" w14:textId="77777777" w:rsidR="004E02B5" w:rsidRDefault="004E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1476"/>
    <w:rsid w:val="000538D7"/>
    <w:rsid w:val="001953F1"/>
    <w:rsid w:val="001B567D"/>
    <w:rsid w:val="001C6AD2"/>
    <w:rsid w:val="001D507F"/>
    <w:rsid w:val="00207117"/>
    <w:rsid w:val="002407D6"/>
    <w:rsid w:val="002519B9"/>
    <w:rsid w:val="002814D2"/>
    <w:rsid w:val="00305DA2"/>
    <w:rsid w:val="0049267F"/>
    <w:rsid w:val="004E02B5"/>
    <w:rsid w:val="004E7355"/>
    <w:rsid w:val="0062345C"/>
    <w:rsid w:val="006C6E17"/>
    <w:rsid w:val="00747798"/>
    <w:rsid w:val="008472AA"/>
    <w:rsid w:val="008A5507"/>
    <w:rsid w:val="00914113"/>
    <w:rsid w:val="009A0430"/>
    <w:rsid w:val="009E2DF1"/>
    <w:rsid w:val="009E4CCB"/>
    <w:rsid w:val="00B257DA"/>
    <w:rsid w:val="00B34223"/>
    <w:rsid w:val="00BA6B38"/>
    <w:rsid w:val="00CB24C2"/>
    <w:rsid w:val="00CF6F90"/>
    <w:rsid w:val="00D312EC"/>
    <w:rsid w:val="00DD2E36"/>
    <w:rsid w:val="00DD4558"/>
    <w:rsid w:val="00E416B2"/>
    <w:rsid w:val="00ED2BB0"/>
    <w:rsid w:val="00FB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2024-05-14T09:16:00Z</dcterms:created>
  <dcterms:modified xsi:type="dcterms:W3CDTF">2024-05-14T09:16:00Z</dcterms:modified>
  <dc:language>sk-SK</dc:language>
</cp:coreProperties>
</file>