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060/001/2022/01698/U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30"/>
        <w:gridCol w:w="1563"/>
        <w:gridCol w:w="2274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18000000-9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Pracovná obuv E SH f. 10 O1-biela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Veľkosť: 37x6, 38x13, 39x16, 40x7, 41x6, 42x3, 43x1, 44x1, 45x1, 46x1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Kuchyňa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9.8.2022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11.8.2022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8"/>
      <w:gridCol w:w="1846"/>
    </w:tblGrid>
    <w:tr>
      <w:trPr>
        <w:trHeight w:val="340" w:hRule="atLeast"/>
      </w:trPr>
      <w:tc>
        <w:tcPr>
          <w:tcW w:w="8360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8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6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LibreOffice/7.0.0.3$Windows_X86_64 LibreOffice_project/8061b3e9204bef6b321a21033174034a5e2ea88e</Application>
  <Pages>2</Pages>
  <Words>210</Words>
  <Characters>1359</Characters>
  <CharactersWithSpaces>1561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2022-08-09T08:04:29Z</cp:lastPrinted>
  <dcterms:modified xsi:type="dcterms:W3CDTF">2022-08-09T08:06:33Z</dcterms:modified>
  <cp:revision>8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