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060/001/2023/01030/U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4"/>
        <w:gridCol w:w="1567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39514300-1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22"/>
                  <w:szCs w:val="18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  <w:t>1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Predformtovantext"/>
              <w:widowControl w:val="false"/>
              <w:tabs>
                <w:tab w:val="clear" w:pos="708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  <w:t>Utierky so stredovým odvinom Katrin 433382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288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hlavie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Zhlavie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Zhlavie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cs="Times New Roman"/>
                <w:b w:val="false"/>
                <w:b w:val="false"/>
                <w:bCs w:val="false"/>
                <w:sz w:val="20"/>
              </w:rPr>
            </w:pPr>
            <w:r>
              <w:rPr>
                <w:rFonts w:cs="Times New Roman"/>
                <w:b w:val="false"/>
                <w:bCs w:val="false"/>
                <w:sz w:val="20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hlavie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439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Odd.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 </w:t>
            </w:r>
            <w:r>
              <w:rPr>
                <w:sz w:val="20"/>
              </w:rPr>
              <w:t>WEB</w:t>
            </w:r>
            <w:r>
              <w:rPr>
                <w:sz w:val="20"/>
              </w:rPr>
              <w:t xml:space="preserve"> : 3.5.2023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5.5.2023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283" w:top="1417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Mono">
    <w:altName w:val="Courier New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66"/>
      <w:gridCol w:w="1858"/>
    </w:tblGrid>
    <w:tr>
      <w:trPr>
        <w:trHeight w:val="340" w:hRule="atLeast"/>
      </w:trPr>
      <w:tc>
        <w:tcPr>
          <w:tcW w:w="8348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66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  <w:p>
    <w:pPr>
      <w:pStyle w:val="Zhlavie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Zhlavie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paragraph" w:styleId="Predformtovantext">
    <w:name w:val="Predformátovaný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LibreOffice/7.4.1.2$Windows_X86_64 LibreOffice_project/3c58a8f3a960df8bc8fd77b461821e42c061c5f0</Application>
  <AppVersion>15.0000</AppVersion>
  <Pages>2</Pages>
  <Words>199</Words>
  <Characters>1305</Characters>
  <CharactersWithSpaces>1481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2023-05-03T08:09:33Z</cp:lastPrinted>
  <dcterms:modified xsi:type="dcterms:W3CDTF">2023-05-03T08:10:02Z</dcterms:modified>
  <cp:revision>22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