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adpis"/>
        <w:spacing w:before="0" w:after="120"/>
        <w:rPr>
          <w:rFonts w:eastAsia="Times New Roman"/>
          <w:b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 060/001/2024/00307/U</w:t>
      </w:r>
    </w:p>
    <w:tbl>
      <w:tblPr>
        <w:tblW w:w="10199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75"/>
        <w:gridCol w:w="1559"/>
        <w:gridCol w:w="2265"/>
        <w:gridCol w:w="450"/>
        <w:gridCol w:w="346"/>
        <w:gridCol w:w="794"/>
        <w:gridCol w:w="541"/>
        <w:gridCol w:w="989"/>
        <w:gridCol w:w="856"/>
        <w:gridCol w:w="1723"/>
      </w:tblGrid>
      <w:tr>
        <w:trPr>
          <w:trHeight w:val="624" w:hRule="atLeast"/>
        </w:trPr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adpis3"/>
              <w:widowControl w:val="false"/>
              <w:numPr>
                <w:ilvl w:val="2"/>
                <w:numId w:val="1"/>
              </w:numPr>
              <w:ind w:left="0" w:hanging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>
            <w:pPr>
              <w:pStyle w:val="Nadpis3"/>
              <w:widowControl w:val="false"/>
              <w:numPr>
                <w:ilvl w:val="2"/>
                <w:numId w:val="1"/>
              </w:numPr>
              <w:ind w:left="0" w:hanging="0"/>
              <w:jc w:val="center"/>
              <w:rPr>
                <w:b w:val="false"/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b w:val="false"/>
                <w:bCs w:val="false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false"/>
                <w:bCs w:val="false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adpis3"/>
              <w:widowControl w:val="false"/>
              <w:numPr>
                <w:ilvl w:val="2"/>
                <w:numId w:val="1"/>
              </w:numPr>
              <w:ind w:left="0" w:hanging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adpis3"/>
              <w:widowControl w:val="false"/>
              <w:numPr>
                <w:ilvl w:val="2"/>
                <w:numId w:val="1"/>
              </w:numPr>
              <w:ind w:left="0" w:hanging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>
        <w:trPr>
          <w:trHeight w:val="340" w:hRule="atLeast"/>
        </w:trPr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/>
            </w:r>
          </w:p>
        </w:tc>
        <w:tc>
          <w:tcPr>
            <w:tcW w:w="3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rPr>
                <w:b/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>
            <w:pPr>
              <w:pStyle w:val="Normal"/>
              <w:widowControl w:val="false"/>
              <w:spacing w:before="0" w:after="60"/>
              <w:rPr>
                <w:bCs/>
                <w:i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>zriadený Zriaď. listinou MZ SR č. 3724/1991-A/XIV-1 zo dňa 09.12.1991 v znení nesk. zmien</w:t>
            </w:r>
          </w:p>
        </w:tc>
      </w:tr>
      <w:tr>
        <w:trPr>
          <w:trHeight w:val="340" w:hRule="atLeast"/>
        </w:trPr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adpis2"/>
              <w:widowControl w:val="false"/>
              <w:numPr>
                <w:ilvl w:val="1"/>
                <w:numId w:val="1"/>
              </w:numPr>
              <w:spacing w:before="0" w:after="60"/>
              <w:ind w:left="0" w:hanging="0"/>
              <w:rPr>
                <w:b/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/>
            </w:r>
          </w:p>
        </w:tc>
        <w:tc>
          <w:tcPr>
            <w:tcW w:w="3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adpis2"/>
              <w:widowControl w:val="false"/>
              <w:numPr>
                <w:ilvl w:val="1"/>
                <w:numId w:val="1"/>
              </w:numPr>
              <w:spacing w:before="0" w:after="60"/>
              <w:ind w:left="0" w:hanging="0"/>
              <w:rPr>
                <w:sz w:val="22"/>
                <w:szCs w:val="28"/>
              </w:rPr>
            </w:pPr>
            <w:r>
              <w:rPr>
                <w:bCs w:val="false"/>
                <w:color w:val="040404"/>
                <w:sz w:val="22"/>
                <w:szCs w:val="28"/>
              </w:rPr>
              <w:t>Ul. V. Spanyola 43</w:t>
            </w:r>
          </w:p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>
        <w:trPr>
          <w:trHeight w:val="340" w:hRule="atLeast"/>
        </w:trPr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adpis2"/>
              <w:widowControl w:val="false"/>
              <w:numPr>
                <w:ilvl w:val="1"/>
                <w:numId w:val="1"/>
              </w:numPr>
              <w:spacing w:before="0" w:after="60"/>
              <w:ind w:left="0" w:hanging="0"/>
              <w:rPr>
                <w:b/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/>
            </w:r>
          </w:p>
        </w:tc>
        <w:tc>
          <w:tcPr>
            <w:tcW w:w="3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>
        <w:trPr>
          <w:trHeight w:val="340" w:hRule="atLeast"/>
        </w:trPr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adpis2"/>
              <w:widowControl w:val="false"/>
              <w:numPr>
                <w:ilvl w:val="1"/>
                <w:numId w:val="1"/>
              </w:numPr>
              <w:spacing w:before="0" w:after="60"/>
              <w:ind w:left="0" w:hanging="0"/>
              <w:rPr>
                <w:b/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>
            <w:pPr>
              <w:pStyle w:val="Normal"/>
              <w:widowControl w:val="false"/>
              <w:spacing w:before="0" w:after="60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</w:t>
            </w:r>
            <w:r>
              <w:rPr>
                <w:color w:val="040404"/>
                <w:sz w:val="22"/>
                <w:szCs w:val="28"/>
              </w:rPr>
              <w:t>2020699923</w:t>
            </w:r>
          </w:p>
        </w:tc>
      </w:tr>
      <w:tr>
        <w:trPr>
          <w:trHeight w:val="340" w:hRule="atLeast"/>
        </w:trPr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adpis2"/>
              <w:widowControl w:val="false"/>
              <w:numPr>
                <w:ilvl w:val="1"/>
                <w:numId w:val="1"/>
              </w:numPr>
              <w:spacing w:before="0" w:after="60"/>
              <w:ind w:left="0" w:hanging="0"/>
              <w:rPr>
                <w:b/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>
            <w:pPr>
              <w:pStyle w:val="Normal"/>
              <w:widowControl w:val="false"/>
              <w:spacing w:before="0" w:after="60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>
            <w:pPr>
              <w:pStyle w:val="Normal"/>
              <w:widowControl w:val="false"/>
              <w:spacing w:before="0" w:after="60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60"/>
              <w:rPr>
                <w:color w:val="040404"/>
                <w:sz w:val="16"/>
              </w:rPr>
            </w:pPr>
            <w:r>
              <w:rPr>
                <w:color w:val="040404"/>
                <w:sz w:val="16"/>
              </w:rPr>
            </w:r>
          </w:p>
        </w:tc>
        <w:tc>
          <w:tcPr>
            <w:tcW w:w="3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>
        <w:trPr>
          <w:trHeight w:val="340" w:hRule="atLeast"/>
        </w:trPr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adpis2"/>
              <w:widowControl w:val="false"/>
              <w:numPr>
                <w:ilvl w:val="1"/>
                <w:numId w:val="1"/>
              </w:numPr>
              <w:spacing w:before="0" w:after="60"/>
              <w:ind w:left="0" w:hanging="0"/>
              <w:rPr>
                <w:b/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60"/>
              <w:rPr>
                <w:color w:val="040404"/>
                <w:sz w:val="20"/>
              </w:rPr>
            </w:pPr>
            <w:r>
              <w:rPr>
                <w:color w:val="040404"/>
                <w:sz w:val="20"/>
              </w:rPr>
            </w:r>
          </w:p>
        </w:tc>
        <w:tc>
          <w:tcPr>
            <w:tcW w:w="3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>
            <w:pPr>
              <w:pStyle w:val="Normal"/>
              <w:widowControl w:val="false"/>
              <w:spacing w:before="0"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MUDr. Juraj Kacian, MPH</w:t>
            </w:r>
          </w:p>
        </w:tc>
      </w:tr>
      <w:tr>
        <w:trPr>
          <w:trHeight w:val="394" w:hRule="atLeast"/>
        </w:trPr>
        <w:tc>
          <w:tcPr>
            <w:tcW w:w="101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adpis4"/>
              <w:widowControl w:val="false"/>
              <w:numPr>
                <w:ilvl w:val="3"/>
                <w:numId w:val="1"/>
              </w:numPr>
              <w:jc w:val="left"/>
              <w:rPr/>
            </w:pPr>
            <w:r>
              <w:rPr>
                <w:sz w:val="20"/>
                <w:szCs w:val="20"/>
              </w:rPr>
              <w:t>CPV kód: 39533000-7</w:t>
            </w:r>
          </w:p>
        </w:tc>
      </w:tr>
      <w:tr>
        <w:trPr>
          <w:trHeight w:val="850" w:hRule="atLeast"/>
        </w:trPr>
        <w:tc>
          <w:tcPr>
            <w:tcW w:w="101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adpis4"/>
              <w:widowControl w:val="false"/>
              <w:numPr>
                <w:ilvl w:val="3"/>
                <w:numId w:val="1"/>
              </w:numPr>
              <w:jc w:val="left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>
            <w:pPr>
              <w:pStyle w:val="Nadpis4"/>
              <w:widowControl w:val="false"/>
              <w:numPr>
                <w:ilvl w:val="3"/>
                <w:numId w:val="1"/>
              </w:numPr>
              <w:jc w:val="left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poliklinikou Žilina, so sídlom Vojtecha Spanyola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Normal"/>
              <w:widowControl w:val="false"/>
              <w:rPr>
                <w:color w:val="0563C1"/>
                <w:sz w:val="20"/>
                <w:szCs w:val="20"/>
                <w:u w:val="single"/>
              </w:rPr>
            </w:pPr>
            <w:hyperlink r:id="rId2">
              <w:r>
                <w:rPr>
                  <w:rStyle w:val="Internetovodkaz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>
        <w:trPr>
          <w:trHeight w:val="510" w:hRule="atLeast"/>
        </w:trPr>
        <w:tc>
          <w:tcPr>
            <w:tcW w:w="101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adpis4"/>
              <w:widowControl w:val="false"/>
              <w:numPr>
                <w:ilvl w:val="3"/>
                <w:numId w:val="1"/>
              </w:numPr>
              <w:jc w:val="left"/>
              <w:rPr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>
        <w:trPr>
          <w:trHeight w:val="51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adpis5"/>
              <w:widowControl w:val="false"/>
              <w:numPr>
                <w:ilvl w:val="4"/>
                <w:numId w:val="1"/>
              </w:numPr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adpis5"/>
              <w:widowControl w:val="false"/>
              <w:numPr>
                <w:ilvl w:val="4"/>
                <w:numId w:val="1"/>
              </w:numPr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GE900-100-dekontaminačná rohož 45x115 (modrá)</w:t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2.</w:t>
            </w:r>
          </w:p>
        </w:tc>
        <w:tc>
          <w:tcPr>
            <w:tcW w:w="38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GE800-300-dekontaminačná rohož 60x115 (modrá)</w:t>
            </w:r>
          </w:p>
        </w:tc>
        <w:tc>
          <w:tcPr>
            <w:tcW w:w="7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3.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GE800-400-dekontaminačná rohož 90x115 (modrá)</w:t>
            </w:r>
          </w:p>
        </w:tc>
        <w:tc>
          <w:tcPr>
            <w:tcW w:w="7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94" w:type="dxa"/>
            <w:tcBorders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Predpokladaná hodnota obj.</w:t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/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Oddelenia</w:t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</w:r>
          </w:p>
        </w:tc>
      </w:tr>
      <w:tr>
        <w:trPr>
          <w:trHeight w:val="344" w:hRule="atLeast"/>
        </w:trPr>
        <w:tc>
          <w:tcPr>
            <w:tcW w:w="101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adpis1"/>
              <w:widowControl w:val="false"/>
              <w:numPr>
                <w:ilvl w:val="0"/>
                <w:numId w:val="1"/>
              </w:numPr>
              <w:rPr/>
            </w:pPr>
            <w:r>
              <w:rPr>
                <w:color w:val="040404"/>
              </w:rPr>
              <w:t>Splatnosť kúpnej ceny:</w:t>
              <w:tab/>
            </w:r>
            <w:r>
              <w:rPr>
                <w:b w:val="false"/>
                <w:bCs w:val="false"/>
                <w:color w:val="040404"/>
                <w:szCs w:val="20"/>
              </w:rPr>
              <w:t>60 dní od vystavenia faktúry</w:t>
            </w:r>
          </w:p>
        </w:tc>
      </w:tr>
      <w:tr>
        <w:trPr>
          <w:trHeight w:val="504" w:hRule="atLeast"/>
        </w:trPr>
        <w:tc>
          <w:tcPr>
            <w:tcW w:w="101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101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>
        <w:trPr>
          <w:trHeight w:val="1411" w:hRule="atLeast"/>
        </w:trPr>
        <w:tc>
          <w:tcPr>
            <w:tcW w:w="4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20"/>
              <w:rPr>
                <w:b/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>
            <w:pPr>
              <w:pStyle w:val="Normal"/>
              <w:widowControl w:val="false"/>
              <w:rPr>
                <w:color w:val="040404"/>
                <w:sz w:val="20"/>
              </w:rPr>
            </w:pPr>
            <w:r>
              <w:rPr>
                <w:color w:val="040404"/>
                <w:sz w:val="20"/>
              </w:rPr>
            </w:r>
          </w:p>
          <w:p>
            <w:pPr>
              <w:pStyle w:val="Normal"/>
              <w:widowControl w:val="false"/>
              <w:rPr>
                <w:color w:val="040404"/>
                <w:sz w:val="20"/>
              </w:rPr>
            </w:pPr>
            <w:r>
              <w:rPr>
                <w:color w:val="040404"/>
                <w:sz w:val="20"/>
              </w:rPr>
            </w:r>
          </w:p>
          <w:p>
            <w:pPr>
              <w:pStyle w:val="Normal"/>
              <w:widowControl w:val="false"/>
              <w:rPr>
                <w:color w:val="040404"/>
                <w:sz w:val="20"/>
              </w:rPr>
            </w:pPr>
            <w:r>
              <w:rPr>
                <w:color w:val="040404"/>
                <w:sz w:val="20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20"/>
              <w:rPr>
                <w:b/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</w:rPr>
              <w:t>MUDr. Juraj Kacian, MPH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</w:rPr>
              <w:t>Dátum WEB: 30.1.2024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</w:rPr>
              <w:t>Dátum realizácie:  1.2.2024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0206" w:type="dxa"/>
        <w:jc w:val="left"/>
        <w:tblInd w:w="-612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355"/>
        <w:gridCol w:w="3449"/>
        <w:gridCol w:w="1417"/>
        <w:gridCol w:w="1984"/>
      </w:tblGrid>
      <w:tr>
        <w:trPr>
          <w:trHeight w:val="454" w:hRule="atLeast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>
        <w:trPr>
          <w:trHeight w:val="340" w:hRule="atLeast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Odsadenietelatextu"/>
              <w:widowControl w:val="false"/>
              <w:spacing w:before="0" w:after="0"/>
              <w:ind w:left="0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0"/>
                <w:lang w:val="sk-SK" w:eastAsia="en-US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>
        <w:trPr>
          <w:trHeight w:val="850" w:hRule="atLeast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2"/>
                <w:szCs w:val="22"/>
                <w:lang w:eastAsia="en-US"/>
              </w:rPr>
            </w:pPr>
            <w:r>
              <w:rPr>
                <w:rFonts w:cs="Times New Roman"/>
                <w:b/>
                <w:sz w:val="22"/>
                <w:szCs w:val="22"/>
                <w:lang w:eastAsia="en-US"/>
              </w:rPr>
              <w:t>Urbanová Katarína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552" w:hRule="atLeast"/>
        </w:trPr>
        <w:tc>
          <w:tcPr>
            <w:tcW w:w="3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>
              <w:rPr>
                <w:b/>
                <w:strike/>
                <w:sz w:val="22"/>
                <w:szCs w:val="22"/>
                <w:u w:val="none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850" w:hRule="atLeast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eastAsia="en-US"/>
              </w:rPr>
              <w:t>Mgr. Pavol Záň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>
          <w:trHeight w:val="713" w:hRule="atLeast"/>
        </w:trPr>
        <w:tc>
          <w:tcPr>
            <w:tcW w:w="3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rPr>
          <w:sz w:val="20"/>
        </w:rPr>
      </w:pPr>
      <w:r>
        <w:rPr>
          <w:vertAlign w:val="superscript"/>
        </w:rPr>
        <w:t>*</w:t>
      </w:r>
      <w:r>
        <w:rPr/>
        <w:t xml:space="preserve"> </w:t>
      </w:r>
      <w:r>
        <w:rPr>
          <w:sz w:val="20"/>
        </w:rPr>
        <w:t>Nehodiace sa prečiarknite!</w:t>
      </w:r>
    </w:p>
    <w:sectPr>
      <w:headerReference w:type="default" r:id="rId3"/>
      <w:footerReference w:type="default" r:id="rId4"/>
      <w:type w:val="nextPage"/>
      <w:pgSz w:w="11906" w:h="16838"/>
      <w:pgMar w:left="1417" w:right="1417" w:gutter="0" w:header="567" w:top="1417" w:footer="56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6" w:type="dxa"/>
      <w:jc w:val="center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0" w:noVBand="0" w:lastRow="0" w:firstColumn="0" w:lastColumn="0" w:noHBand="0" w:val="0000"/>
    </w:tblPr>
    <w:tblGrid>
      <w:gridCol w:w="4182"/>
      <w:gridCol w:w="4175"/>
      <w:gridCol w:w="1849"/>
    </w:tblGrid>
    <w:tr>
      <w:trPr>
        <w:trHeight w:val="340" w:hRule="atLeast"/>
      </w:trPr>
      <w:tc>
        <w:tcPr>
          <w:tcW w:w="8357" w:type="dxa"/>
          <w:gridSpan w:val="2"/>
          <w:tcBorders/>
          <w:shd w:color="auto" w:fill="auto" w:val="clear"/>
          <w:vAlign w:val="center"/>
        </w:tcPr>
        <w:p>
          <w:pPr>
            <w:pStyle w:val="Pta"/>
            <w:widowControl w:val="false"/>
            <w:snapToGrid w:val="false"/>
            <w:rPr/>
          </w:pPr>
          <w:r>
            <w:rPr>
              <w:rFonts w:cs="Times New Roman" w:ascii="Times New Roman" w:hAnsi="Times New Roman"/>
              <w:b/>
              <w:bCs/>
              <w:szCs w:val="20"/>
            </w:rPr>
            <w:t>Vybavuje za kupujúceho:</w:t>
          </w:r>
          <w:r>
            <w:rPr>
              <w:rFonts w:cs="Times New Roman" w:ascii="Times New Roman" w:hAnsi="Times New Roman"/>
              <w:szCs w:val="20"/>
            </w:rPr>
            <w:t xml:space="preserve"> Urbanová Katarína</w:t>
          </w:r>
        </w:p>
      </w:tc>
      <w:tc>
        <w:tcPr>
          <w:tcW w:w="184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napToGrid w:val="false"/>
            <w:rPr>
              <w:szCs w:val="20"/>
            </w:rPr>
          </w:pPr>
          <w:r>
            <w:rPr>
              <w:szCs w:val="20"/>
            </w:rPr>
          </w:r>
        </w:p>
      </w:tc>
    </w:tr>
    <w:tr>
      <w:trPr>
        <w:trHeight w:val="340" w:hRule="atLeast"/>
      </w:trPr>
      <w:tc>
        <w:tcPr>
          <w:tcW w:w="4182" w:type="dxa"/>
          <w:tcBorders/>
          <w:shd w:color="auto" w:fill="auto" w:val="clear"/>
          <w:vAlign w:val="center"/>
        </w:tcPr>
        <w:p>
          <w:pPr>
            <w:pStyle w:val="Pta"/>
            <w:widowControl w:val="false"/>
            <w:rPr/>
          </w:pPr>
          <w:r>
            <w:rPr>
              <w:rFonts w:cs="Times New Roman" w:ascii="Times New Roman" w:hAnsi="Times New Roman"/>
              <w:b/>
              <w:bCs/>
              <w:szCs w:val="20"/>
            </w:rPr>
            <w:t>Kontakt:</w:t>
          </w:r>
          <w:r>
            <w:rPr>
              <w:rFonts w:cs="Times New Roman" w:ascii="Times New Roman" w:hAnsi="Times New Roman"/>
            </w:rPr>
            <w:t xml:space="preserve">Tel.:014/5110221, +421 41/723 3257      </w:t>
          </w:r>
        </w:p>
      </w:tc>
      <w:tc>
        <w:tcPr>
          <w:tcW w:w="4175" w:type="dxa"/>
          <w:tcBorders/>
          <w:shd w:color="auto" w:fill="auto" w:val="clear"/>
          <w:vAlign w:val="center"/>
        </w:tcPr>
        <w:p>
          <w:pPr>
            <w:pStyle w:val="Pta"/>
            <w:widowControl w:val="false"/>
            <w:rPr/>
          </w:pPr>
          <w:r>
            <w:rPr>
              <w:rFonts w:cs="Times New Roman" w:ascii="Times New Roman" w:hAnsi="Times New Roman"/>
              <w:b/>
              <w:bCs/>
            </w:rPr>
            <w:t>E- mail:</w:t>
          </w:r>
          <w:r>
            <w:rPr>
              <w:rFonts w:cs="Times New Roman" w:ascii="Times New Roman" w:hAnsi="Times New Roman"/>
            </w:rPr>
            <w:t xml:space="preserve"> urbanova@fnspza.sk</w:t>
          </w:r>
        </w:p>
      </w:tc>
      <w:tc>
        <w:tcPr>
          <w:tcW w:w="184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rPr/>
          </w:pPr>
          <w:r>
            <w:rPr/>
            <w:t>www.fnspza.sk</w:t>
          </w:r>
        </w:p>
      </w:tc>
    </w:tr>
  </w:tbl>
  <w:p>
    <w:pPr>
      <w:pStyle w:val="Pta"/>
      <w:rPr/>
    </w:pPr>
    <w:r>
      <w:rPr/>
    </w:r>
  </w:p>
  <w:p>
    <w:pPr>
      <w:pStyle w:val="Pta"/>
      <w:rPr/>
    </w:pPr>
    <w:r>
      <w:rPr>
        <w:rFonts w:cs="Times New Roman" w:ascii="Times New Roman" w:hAnsi="Times New Roman"/>
      </w:rPr>
      <w:t>F-49-007</w:t>
      <w:tab/>
      <w:tab/>
      <w:t>Rev.: 00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63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157"/>
      <w:gridCol w:w="7253"/>
      <w:gridCol w:w="1853"/>
    </w:tblGrid>
    <w:tr>
      <w:trPr>
        <w:trHeight w:val="562" w:hRule="atLeast"/>
      </w:trPr>
      <w:tc>
        <w:tcPr>
          <w:tcW w:w="11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jc w:val="center"/>
            <w:rPr>
              <w:szCs w:val="20"/>
            </w:rPr>
          </w:pPr>
          <w:r>
            <w:rPr/>
            <w:drawing>
              <wp:inline distT="0" distB="0" distL="0" distR="0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jc w:val="center"/>
            <w:rPr>
              <w:b/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5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  <w:p>
          <w:pPr>
            <w:pStyle w:val="Normal"/>
            <w:widowControl w:val="false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  <w:p>
          <w:pPr>
            <w:pStyle w:val="Normal"/>
            <w:widowControl w:val="false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  <w:p>
          <w:pPr>
            <w:pStyle w:val="Normal"/>
            <w:widowControl w:val="false"/>
            <w:rPr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>
      <w:trPr>
        <w:trHeight w:val="562" w:hRule="atLeast"/>
      </w:trPr>
      <w:tc>
        <w:tcPr>
          <w:tcW w:w="1157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>
          <w:pPr>
            <w:pStyle w:val="Normal"/>
            <w:widowControl w:val="false"/>
            <w:rPr>
              <w:szCs w:val="20"/>
            </w:rPr>
          </w:pPr>
          <w:r>
            <w:rPr>
              <w:szCs w:val="20"/>
            </w:rPr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>
          <w:pPr>
            <w:pStyle w:val="Normal"/>
            <w:widowControl w:val="false"/>
            <w:jc w:val="center"/>
            <w:rPr>
              <w:b/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53" w:type="dxa"/>
          <w:vMerge w:val="continue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jc w:val="center"/>
            <w:rPr>
              <w:b/>
              <w:b/>
            </w:rPr>
          </w:pPr>
          <w:r>
            <w:rPr>
              <w:b/>
            </w:rPr>
          </w:r>
        </w:p>
      </w:tc>
    </w:tr>
  </w:tbl>
  <w:p>
    <w:pPr>
      <w:pStyle w:val="Zhlavie"/>
      <w:rPr>
        <w:rFonts w:ascii="Times New Roman" w:hAnsi="Times New Roman" w:cs="Times New Roman"/>
        <w:b/>
        <w:b/>
        <w:sz w:val="24"/>
        <w:szCs w:val="24"/>
      </w:rPr>
    </w:pPr>
    <w:r>
      <w:rPr>
        <w:rFonts w:cs="Times New Roman" w:ascii="Times New Roman" w:hAnsi="Times New Roman"/>
        <w:b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k-SK" w:eastAsia="zh-CN" w:bidi="ar-SA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al"/>
    <w:next w:val="Normal"/>
    <w:link w:val="Nadpis3Char"/>
    <w:qFormat/>
    <w:pPr>
      <w:keepNext w:val="true"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Predvolenpsmoodseku2" w:customStyle="1">
    <w:name w:val="Predvolené písmo odseku2"/>
    <w:qFormat/>
    <w:rPr/>
  </w:style>
  <w:style w:type="character" w:styleId="Predvolenpsmoodseku1" w:customStyle="1">
    <w:name w:val="Predvolené písmo odseku1"/>
    <w:qFormat/>
    <w:rPr/>
  </w:style>
  <w:style w:type="character" w:styleId="Pagenumber">
    <w:name w:val="page number"/>
    <w:basedOn w:val="Predvolenpsmoodseku1"/>
    <w:qFormat/>
    <w:rPr/>
  </w:style>
  <w:style w:type="character" w:styleId="PtaChar" w:customStyle="1">
    <w:name w:val="Päta Char"/>
    <w:qFormat/>
    <w:rPr>
      <w:rFonts w:ascii="Arial" w:hAnsi="Arial" w:eastAsia="Calibri" w:cs="Arial"/>
      <w:szCs w:val="22"/>
    </w:rPr>
  </w:style>
  <w:style w:type="character" w:styleId="TextbublinyChar" w:customStyle="1">
    <w:name w:val="Text bubliny Char"/>
    <w:qFormat/>
    <w:rPr>
      <w:rFonts w:ascii="Tahoma" w:hAnsi="Tahoma" w:cs="Tahoma"/>
      <w:sz w:val="16"/>
      <w:szCs w:val="16"/>
    </w:rPr>
  </w:style>
  <w:style w:type="character" w:styleId="Ra" w:customStyle="1">
    <w:name w:val="ra"/>
    <w:basedOn w:val="Predvolenpsmoodseku2"/>
    <w:qFormat/>
    <w:rPr/>
  </w:style>
  <w:style w:type="character" w:styleId="ObyajntextChar" w:customStyle="1">
    <w:name w:val="Obyčajný text Char"/>
    <w:qFormat/>
    <w:rPr>
      <w:sz w:val="24"/>
      <w:szCs w:val="24"/>
    </w:rPr>
  </w:style>
  <w:style w:type="character" w:styleId="Internetovodkaz">
    <w:name w:val="Hyperlink"/>
    <w:uiPriority w:val="99"/>
    <w:unhideWhenUsed/>
    <w:rsid w:val="003476af"/>
    <w:rPr>
      <w:color w:val="0563C1"/>
      <w:u w:val="single"/>
    </w:rPr>
  </w:style>
  <w:style w:type="character" w:styleId="Nevyrieenzmienka1" w:customStyle="1">
    <w:name w:val="Nevyriešená zmienka1"/>
    <w:uiPriority w:val="99"/>
    <w:semiHidden/>
    <w:unhideWhenUsed/>
    <w:qFormat/>
    <w:rsid w:val="003476af"/>
    <w:rPr>
      <w:color w:val="605E5C"/>
      <w:shd w:fill="E1DFDD" w:val="clear"/>
    </w:rPr>
  </w:style>
  <w:style w:type="character" w:styleId="Nadpis3Char" w:customStyle="1">
    <w:name w:val="Nadpis 3 Char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Navtveninternetovodkaz">
    <w:name w:val="FollowedHyperlink"/>
    <w:basedOn w:val="DefaultParagraphFont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d0c45"/>
    <w:rPr>
      <w:sz w:val="16"/>
      <w:szCs w:val="16"/>
    </w:rPr>
  </w:style>
  <w:style w:type="character" w:styleId="TextkomentraChar" w:customStyle="1">
    <w:name w:val="Text komentára Char"/>
    <w:basedOn w:val="DefaultParagraphFont"/>
    <w:link w:val="Annotationtext"/>
    <w:uiPriority w:val="99"/>
    <w:semiHidden/>
    <w:qFormat/>
    <w:rsid w:val="004d0c45"/>
    <w:rPr>
      <w:lang w:eastAsia="zh-CN"/>
    </w:rPr>
  </w:style>
  <w:style w:type="character" w:styleId="PredmetkomentraChar" w:customStyle="1">
    <w:name w:val="Predmet komentára Char"/>
    <w:basedOn w:val="TextkomentraChar"/>
    <w:link w:val="Annotationsubject"/>
    <w:uiPriority w:val="99"/>
    <w:semiHidden/>
    <w:qFormat/>
    <w:rsid w:val="004d0c45"/>
    <w:rPr>
      <w:b/>
      <w:bCs/>
      <w:lang w:eastAsia="zh-CN"/>
    </w:rPr>
  </w:style>
  <w:style w:type="character" w:styleId="ZarkazkladnhotextuChar" w:customStyle="1">
    <w:name w:val="Zarážka základného textu Char"/>
    <w:basedOn w:val="DefaultParagraphFont"/>
    <w:qFormat/>
    <w:rsid w:val="004d0c45"/>
    <w:rPr>
      <w:rFonts w:ascii="Arial" w:hAnsi="Arial"/>
      <w:szCs w:val="24"/>
      <w:lang w:val="x-none" w:eastAsia="ar-SA"/>
    </w:rPr>
  </w:style>
  <w:style w:type="paragraph" w:styleId="Nadpis" w:customStyle="1">
    <w:name w:val="Nadpis"/>
    <w:basedOn w:val="Normal"/>
    <w:next w:val="Telotextu"/>
    <w:qFormat/>
    <w:pPr>
      <w:jc w:val="center"/>
    </w:pPr>
    <w:rPr>
      <w:rFonts w:eastAsia="Calibri"/>
      <w:sz w:val="32"/>
      <w:szCs w:val="22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>
      <w:rFonts w:ascii="Arial" w:hAnsi="Arial" w:eastAsia="Calibri" w:cs="Arial"/>
      <w:sz w:val="20"/>
      <w:szCs w:val="22"/>
    </w:rPr>
  </w:style>
  <w:style w:type="paragraph" w:styleId="Pt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>
      <w:rFonts w:ascii="Arial" w:hAnsi="Arial" w:eastAsia="Calibri" w:cs="Arial"/>
      <w:sz w:val="20"/>
      <w:szCs w:val="22"/>
    </w:rPr>
  </w:style>
  <w:style w:type="paragraph" w:styleId="Zkladntext21" w:customStyle="1">
    <w:name w:val="Základný text 21"/>
    <w:basedOn w:val="Normal"/>
    <w:qFormat/>
    <w:pPr>
      <w:jc w:val="center"/>
    </w:pPr>
    <w:rPr>
      <w:rFonts w:eastAsia="Calibri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Obsahtabuky" w:customStyle="1">
    <w:name w:val="Obsah tabuľky"/>
    <w:basedOn w:val="Normal"/>
    <w:qFormat/>
    <w:pPr>
      <w:suppressLineNumbers/>
    </w:pPr>
    <w:rPr/>
  </w:style>
  <w:style w:type="paragraph" w:styleId="Nadpistabuky" w:customStyle="1">
    <w:name w:val="Nadpis tabuľky"/>
    <w:basedOn w:val="Obsahtabuky"/>
    <w:qFormat/>
    <w:pPr>
      <w:jc w:val="center"/>
    </w:pPr>
    <w:rPr>
      <w:b/>
      <w:bCs/>
    </w:rPr>
  </w:style>
  <w:style w:type="paragraph" w:styleId="Obyajntext1" w:customStyle="1">
    <w:name w:val="Obyčajný text1"/>
    <w:basedOn w:val="Normal"/>
    <w:qFormat/>
    <w:pPr>
      <w:suppressAutoHyphens w:val="false"/>
      <w:spacing w:before="280" w:after="280"/>
    </w:pPr>
    <w:rPr/>
  </w:style>
  <w:style w:type="paragraph" w:styleId="Annotationtext">
    <w:name w:val="annotation text"/>
    <w:basedOn w:val="Normal"/>
    <w:link w:val="TextkomentraChar"/>
    <w:uiPriority w:val="99"/>
    <w:semiHidden/>
    <w:unhideWhenUsed/>
    <w:qFormat/>
    <w:rsid w:val="004d0c4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PredmetkomentraChar"/>
    <w:uiPriority w:val="99"/>
    <w:semiHidden/>
    <w:unhideWhenUsed/>
    <w:qFormat/>
    <w:rsid w:val="004d0c45"/>
    <w:pPr/>
    <w:rPr>
      <w:b/>
      <w:bCs/>
    </w:rPr>
  </w:style>
  <w:style w:type="paragraph" w:styleId="Odsadenietelatextu">
    <w:name w:val="Body Text Indent"/>
    <w:basedOn w:val="Normal"/>
    <w:link w:val="ZarkazkladnhotextuChar"/>
    <w:rsid w:val="004d0c45"/>
    <w:pPr>
      <w:spacing w:before="0" w:after="120"/>
      <w:ind w:left="283" w:hanging="0"/>
    </w:pPr>
    <w:rPr>
      <w:rFonts w:ascii="Arial" w:hAnsi="Arial"/>
      <w:sz w:val="20"/>
      <w:lang w:val="x-none" w:eastAsia="ar-SA"/>
    </w:rPr>
  </w:style>
  <w:style w:type="paragraph" w:styleId="ListParagraph">
    <w:name w:val="List Paragraph"/>
    <w:basedOn w:val="Normal"/>
    <w:uiPriority w:val="34"/>
    <w:qFormat/>
    <w:rsid w:val="00bd029d"/>
    <w:pPr>
      <w:spacing w:before="0" w:after="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6d430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k-SK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fnspza.sk/o-nemocnici/pre-dodavatelov/vseobecne-obchodne-podmienky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LibreOffice/7.4.1.2$Windows_X86_64 LibreOffice_project/3c58a8f3a960df8bc8fd77b461821e42c061c5f0</Application>
  <AppVersion>15.0000</AppVersion>
  <Pages>2</Pages>
  <Words>301</Words>
  <Characters>2038</Characters>
  <CharactersWithSpaces>2281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2023-10-03T06:23:00Z</dcterms:created>
  <dc:creator>prevadzka</dc:creator>
  <dc:description/>
  <dc:language>sk-SK</dc:language>
  <cp:lastModifiedBy/>
  <cp:lastPrinted>2024-01-30T12:26:11Z</cp:lastPrinted>
  <dcterms:modified xsi:type="dcterms:W3CDTF">2024-01-30T12:29:19Z</dcterms:modified>
  <cp:revision>13</cp:revision>
  <dc:subject/>
  <dc:title>KÚPNA ZMLUVA č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