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060/001/2023/02707/U</w:t>
      </w:r>
    </w:p>
    <w:tbl>
      <w:tblPr>
        <w:tblW w:w="10229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90"/>
        <w:gridCol w:w="1574"/>
        <w:gridCol w:w="2266"/>
        <w:gridCol w:w="450"/>
        <w:gridCol w:w="345"/>
        <w:gridCol w:w="795"/>
        <w:gridCol w:w="540"/>
        <w:gridCol w:w="990"/>
        <w:gridCol w:w="855"/>
        <w:gridCol w:w="1723"/>
      </w:tblGrid>
      <w:tr>
        <w:trPr>
          <w:trHeight w:val="624" w:hRule="atLeast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false"/>
                <w:bCs w:val="false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>
        <w:trPr>
          <w:trHeight w:val="340" w:hRule="atLeast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/>
            </w:r>
          </w:p>
        </w:tc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>
            <w:pPr>
              <w:pStyle w:val="Normal"/>
              <w:widowControl w:val="false"/>
              <w:spacing w:before="0" w:after="60"/>
              <w:rPr>
                <w:bCs/>
                <w:i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>zriadený Zriaď. listinou MZ SR č. 3724/1991-A/XIV-1 zo dňa 09.12.1991 v znení nesk. zmien</w:t>
            </w:r>
          </w:p>
        </w:tc>
      </w:tr>
      <w:tr>
        <w:trPr>
          <w:trHeight w:val="340" w:hRule="atLeast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22"/>
                <w:szCs w:val="28"/>
              </w:rPr>
            </w:pPr>
            <w:r>
              <w:rPr>
                <w:bCs w:val="false"/>
                <w:color w:val="040404"/>
                <w:sz w:val="22"/>
                <w:szCs w:val="2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>
        <w:trPr>
          <w:trHeight w:val="340" w:hRule="atLeast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</w:t>
            </w:r>
            <w:r>
              <w:rPr>
                <w:color w:val="040404"/>
                <w:sz w:val="22"/>
                <w:szCs w:val="2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6"/>
              </w:rPr>
            </w:pPr>
            <w:r>
              <w:rPr>
                <w:color w:val="040404"/>
                <w:sz w:val="16"/>
              </w:rPr>
            </w:r>
          </w:p>
        </w:tc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</w:tc>
        <w:tc>
          <w:tcPr>
            <w:tcW w:w="3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sz w:val="20"/>
                <w:szCs w:val="20"/>
              </w:rPr>
              <w:t>CPV kód: 39141000-2</w:t>
            </w:r>
          </w:p>
        </w:tc>
      </w:tr>
      <w:tr>
        <w:trPr>
          <w:trHeight w:val="850" w:hRule="atLeast"/>
        </w:trPr>
        <w:tc>
          <w:tcPr>
            <w:tcW w:w="10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rPr>
                <w:color w:val="0563C1"/>
                <w:sz w:val="20"/>
                <w:szCs w:val="20"/>
                <w:u w:val="single"/>
              </w:rPr>
            </w:pPr>
            <w:hyperlink r:id="rId2">
              <w:r>
                <w:rPr>
                  <w:rStyle w:val="Internetovodkaz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40404"/>
                <w:sz w:val="16"/>
                <w:szCs w:val="16"/>
              </w:rPr>
              <w:t>1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1033003-Dolná skrinka Saria 80 D 2F BB äsivá+biela)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20%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1033005- Dolná skrinka Saria 40D 4S BBäsivá+biela)</w:t>
            </w:r>
          </w:p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95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20%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6"/>
                <w:szCs w:val="16"/>
              </w:rPr>
            </w:pPr>
            <w:r>
              <w:rPr>
                <w:b/>
                <w:bCs/>
                <w:color w:val="040404"/>
                <w:sz w:val="16"/>
                <w:szCs w:val="16"/>
              </w:rPr>
              <w:t>3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1033015- Horná skrinka Saria 60 OK 40 (lesk sivý)</w:t>
            </w:r>
          </w:p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ks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20%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6"/>
                <w:szCs w:val="16"/>
              </w:rPr>
            </w:pPr>
            <w:r>
              <w:rPr>
                <w:b/>
                <w:bCs/>
                <w:color w:val="040404"/>
                <w:sz w:val="16"/>
                <w:szCs w:val="16"/>
              </w:rPr>
              <w:t>4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1033016- horná skrinka Saria 50 OK 40 (sivá)</w:t>
            </w:r>
          </w:p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ks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20%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6"/>
                <w:szCs w:val="16"/>
              </w:rPr>
            </w:pPr>
            <w:r>
              <w:rPr>
                <w:b/>
                <w:bCs/>
                <w:color w:val="040404"/>
                <w:sz w:val="16"/>
                <w:szCs w:val="16"/>
              </w:rPr>
              <w:t>5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 xml:space="preserve">1024646- Prac.doska 60cm 28-D288 (granit) 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metre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20%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6"/>
                <w:szCs w:val="16"/>
              </w:rPr>
            </w:pPr>
            <w:r>
              <w:rPr>
                <w:b/>
                <w:bCs/>
                <w:color w:val="040404"/>
                <w:sz w:val="16"/>
                <w:szCs w:val="16"/>
              </w:rPr>
              <w:t>6</w:t>
            </w: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1061168- Bočná lišta k prac. doske 28 mm ľavá</w:t>
            </w:r>
          </w:p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ks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20%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6"/>
                <w:szCs w:val="16"/>
              </w:rPr>
            </w:pPr>
            <w:r>
              <w:rPr>
                <w:b/>
                <w:bCs/>
                <w:color w:val="040404"/>
                <w:sz w:val="16"/>
                <w:szCs w:val="16"/>
              </w:rPr>
              <w:t>7</w:t>
            </w: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1061168 -Bočná lišta k prac. doske 28 mm pravá</w:t>
            </w:r>
          </w:p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ks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20%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6"/>
                <w:szCs w:val="16"/>
              </w:rPr>
            </w:pPr>
            <w:r>
              <w:rPr>
                <w:b/>
                <w:bCs/>
                <w:color w:val="040404"/>
                <w:sz w:val="16"/>
                <w:szCs w:val="16"/>
              </w:rPr>
              <w:t>8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1068213- Komoda Sallosa (biela+lesk biely)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ks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20%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6"/>
                <w:szCs w:val="16"/>
              </w:rPr>
            </w:pPr>
            <w:r>
              <w:rPr>
                <w:b/>
                <w:bCs/>
                <w:color w:val="040404"/>
                <w:sz w:val="16"/>
                <w:szCs w:val="16"/>
              </w:rPr>
              <w:t>9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1030270- Závesná TV stolík Henry Typ 39 (biela+ biely vysoký lesk)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ks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20%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6"/>
                <w:szCs w:val="16"/>
              </w:rPr>
            </w:pPr>
            <w:r>
              <w:rPr>
                <w:b/>
                <w:bCs/>
                <w:color w:val="040404"/>
                <w:sz w:val="16"/>
                <w:szCs w:val="16"/>
              </w:rPr>
              <w:t>10</w:t>
            </w: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1065840- Konferenčný stolík Lestirola (s LED osvetlením) (biely lesk)</w:t>
            </w:r>
          </w:p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ks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20%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  <w:color w:val="040404"/>
                <w:sz w:val="18"/>
                <w:szCs w:val="18"/>
                <w:u w:val="single"/>
              </w:rPr>
            </w:pPr>
            <w:r>
              <w:rPr>
                <w:b/>
                <w:bCs/>
                <w:color w:val="040404"/>
                <w:sz w:val="18"/>
                <w:szCs w:val="18"/>
                <w:u w:val="single"/>
              </w:rPr>
              <w:t>Predpokladaná hodnota obj.</w:t>
            </w:r>
          </w:p>
          <w:p>
            <w:pPr>
              <w:pStyle w:val="Normal"/>
              <w:widowControl w:val="false"/>
              <w:snapToGrid w:val="false"/>
              <w:rPr>
                <w:b/>
                <w:b/>
                <w:bCs/>
                <w:color w:val="040404"/>
                <w:sz w:val="18"/>
                <w:szCs w:val="18"/>
                <w:u w:val="single"/>
              </w:rPr>
            </w:pPr>
            <w:r>
              <w:rPr>
                <w:b/>
                <w:bCs/>
                <w:color w:val="040404"/>
                <w:sz w:val="18"/>
                <w:szCs w:val="18"/>
                <w:u w:val="single"/>
              </w:rPr>
              <w:t>Gynekológia</w:t>
            </w:r>
          </w:p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22"/>
                <w:szCs w:val="22"/>
              </w:rPr>
            </w:pPr>
            <w:r>
              <w:rPr/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  <w:t>20%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</w:r>
          </w:p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44" w:hRule="atLeast"/>
        </w:trPr>
        <w:tc>
          <w:tcPr>
            <w:tcW w:w="10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411" w:hRule="atLeast"/>
        </w:trPr>
        <w:tc>
          <w:tcPr>
            <w:tcW w:w="4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Dátum WEB: 21.11.2023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  23.11.2023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left"/>
        <w:tblInd w:w="-6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355"/>
        <w:gridCol w:w="3449"/>
        <w:gridCol w:w="1417"/>
        <w:gridCol w:w="1984"/>
      </w:tblGrid>
      <w:tr>
        <w:trPr>
          <w:trHeight w:val="454" w:hRule="atLeast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>
        <w:trPr>
          <w:trHeight w:val="340" w:hRule="atLeast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Odsadenietelatextu"/>
              <w:widowControl w:val="false"/>
              <w:spacing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0"/>
                <w:lang w:val="sk-SK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Katarína Urbanová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552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Ing. Bohdan Cinko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713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vertAlign w:val="superscript"/>
        </w:rPr>
        <w:t>*</w:t>
      </w:r>
      <w:r>
        <w:rPr/>
        <w:t xml:space="preserve"> </w:t>
      </w:r>
      <w:r>
        <w:rPr>
          <w:sz w:val="20"/>
        </w:rPr>
        <w:t>Nehodiace sa prečiarknite!</w:t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567" w:top="1417" w:footer="567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0" w:noVBand="0" w:lastRow="0" w:firstColumn="0" w:lastColumn="0" w:noHBand="0" w:val="0000"/>
    </w:tblPr>
    <w:tblGrid>
      <w:gridCol w:w="4182"/>
      <w:gridCol w:w="4174"/>
      <w:gridCol w:w="1850"/>
    </w:tblGrid>
    <w:tr>
      <w:trPr>
        <w:trHeight w:val="340" w:hRule="atLeast"/>
      </w:trPr>
      <w:tc>
        <w:tcPr>
          <w:tcW w:w="8356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</w:t>
          </w:r>
        </w:p>
      </w:tc>
      <w:tc>
        <w:tcPr>
          <w:tcW w:w="1850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 xml:space="preserve">Tel.:014/5110221  +421 41/7233257      </w:t>
          </w:r>
        </w:p>
      </w:tc>
      <w:tc>
        <w:tcPr>
          <w:tcW w:w="4174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50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F-49-007</w:t>
      <w:tab/>
      <w:tab/>
      <w:t>Rev.: 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63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156"/>
      <w:gridCol w:w="7253"/>
      <w:gridCol w:w="1854"/>
    </w:tblGrid>
    <w:tr>
      <w:trPr>
        <w:trHeight w:val="562" w:hRule="atLeast"/>
      </w:trPr>
      <w:tc>
        <w:tcPr>
          <w:tcW w:w="115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szCs w:val="20"/>
            </w:rPr>
          </w:pPr>
          <w:r>
            <w:rPr/>
            <w:drawing>
              <wp:inline distT="0" distB="0" distL="0" distR="0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>
      <w:trPr>
        <w:trHeight w:val="562" w:hRule="atLeast"/>
      </w:trPr>
      <w:tc>
        <w:tcPr>
          <w:tcW w:w="115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rPr>
              <w:szCs w:val="20"/>
            </w:rPr>
          </w:pPr>
          <w:r>
            <w:rPr>
              <w:szCs w:val="20"/>
            </w:rPr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54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</w:rPr>
          </w:r>
        </w:p>
      </w:tc>
    </w:tr>
  </w:tbl>
  <w:p>
    <w:pPr>
      <w:pStyle w:val="Zhlavie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Predvolenpsmoodseku2" w:customStyle="1">
    <w:name w:val="Predvolené písmo odseku2"/>
    <w:qFormat/>
    <w:rPr/>
  </w:style>
  <w:style w:type="character" w:styleId="Predvolenpsmoodseku1" w:customStyle="1">
    <w:name w:val="Predvolené písmo odseku1"/>
    <w:qFormat/>
    <w:rPr/>
  </w:style>
  <w:style w:type="character" w:styleId="Pagenumber">
    <w:name w:val="page number"/>
    <w:basedOn w:val="Predvolenpsmoodseku1"/>
    <w:qFormat/>
    <w:rPr/>
  </w:style>
  <w:style w:type="character" w:styleId="PtaChar" w:customStyle="1">
    <w:name w:val="Päta Char"/>
    <w:qFormat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Pr/>
  </w:style>
  <w:style w:type="character" w:styleId="ObyajntextChar" w:customStyle="1">
    <w:name w:val="Obyčajný text Char"/>
    <w:qFormat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Nevyrieenzmienka1" w:customStyle="1">
    <w:name w:val="Nevyriešená zmienka1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Navtveninternetovodkaz">
    <w:name w:val="FollowedHyperlink"/>
    <w:basedOn w:val="DefaultParagraphFont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d0c45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Annotationtext"/>
    <w:uiPriority w:val="99"/>
    <w:semiHidden/>
    <w:qFormat/>
    <w:rsid w:val="004d0c45"/>
    <w:rPr>
      <w:lang w:eastAsia="zh-CN"/>
    </w:rPr>
  </w:style>
  <w:style w:type="character" w:styleId="PredmetkomentraChar" w:customStyle="1">
    <w:name w:val="Predmet komentára Char"/>
    <w:basedOn w:val="TextkomentraChar"/>
    <w:link w:val="Annotationsubject"/>
    <w:uiPriority w:val="99"/>
    <w:semiHidden/>
    <w:qFormat/>
    <w:rsid w:val="004d0c45"/>
    <w:rPr>
      <w:b/>
      <w:bCs/>
      <w:lang w:eastAsia="zh-CN"/>
    </w:rPr>
  </w:style>
  <w:style w:type="character" w:styleId="ZarkazkladnhotextuChar" w:customStyle="1">
    <w:name w:val="Zarážka základného textu Char"/>
    <w:basedOn w:val="DefaultParagraphFont"/>
    <w:qFormat/>
    <w:rsid w:val="004d0c45"/>
    <w:rPr>
      <w:rFonts w:ascii="Arial" w:hAnsi="Arial"/>
      <w:szCs w:val="24"/>
      <w:lang w:val="x-none" w:eastAsia="ar-SA"/>
    </w:rPr>
  </w:style>
  <w:style w:type="paragraph" w:styleId="Nadpis" w:customStyle="1">
    <w:name w:val="Nadpis"/>
    <w:basedOn w:val="Normal"/>
    <w:next w:val="Telotextu"/>
    <w:qFormat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pPr>
      <w:suppressLineNumbers/>
    </w:pPr>
    <w:rPr/>
  </w:style>
  <w:style w:type="paragraph" w:styleId="Nadpistabuky" w:customStyle="1">
    <w:name w:val="Nadpis tabuľky"/>
    <w:basedOn w:val="Obsahtabuky"/>
    <w:qFormat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pPr>
      <w:suppressAutoHyphens w:val="false"/>
      <w:spacing w:before="280" w:after="280"/>
    </w:pPr>
    <w:rPr/>
  </w:style>
  <w:style w:type="paragraph" w:styleId="Annotationtext">
    <w:name w:val="annotation text"/>
    <w:basedOn w:val="Normal"/>
    <w:link w:val="TextkomentraChar"/>
    <w:uiPriority w:val="99"/>
    <w:semiHidden/>
    <w:unhideWhenUsed/>
    <w:qFormat/>
    <w:rsid w:val="004d0c4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/>
    <w:unhideWhenUsed/>
    <w:qFormat/>
    <w:rsid w:val="004d0c45"/>
    <w:pPr/>
    <w:rPr>
      <w:b/>
      <w:bCs/>
    </w:rPr>
  </w:style>
  <w:style w:type="paragraph" w:styleId="Odsadenietelatextu">
    <w:name w:val="Body Text Indent"/>
    <w:basedOn w:val="Normal"/>
    <w:link w:val="ZarkazkladnhotextuChar"/>
    <w:rsid w:val="004d0c45"/>
    <w:pPr>
      <w:spacing w:before="0" w:after="120"/>
      <w:ind w:left="283" w:hanging="0"/>
    </w:pPr>
    <w:rPr>
      <w:rFonts w:ascii="Arial" w:hAnsi="Arial"/>
      <w:sz w:val="20"/>
      <w:lang w:val="x-none" w:eastAsia="ar-SA"/>
    </w:rPr>
  </w:style>
  <w:style w:type="paragraph" w:styleId="ListParagraph">
    <w:name w:val="List Paragraph"/>
    <w:basedOn w:val="Normal"/>
    <w:uiPriority w:val="34"/>
    <w:qFormat/>
    <w:rsid w:val="00bd029d"/>
    <w:pPr>
      <w:spacing w:before="0" w:after="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6d43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LibreOffice/7.4.1.2$Windows_X86_64 LibreOffice_project/3c58a8f3a960df8bc8fd77b461821e42c061c5f0</Application>
  <AppVersion>15.0000</AppVersion>
  <Pages>2</Pages>
  <Words>398</Words>
  <Characters>2404</Characters>
  <CharactersWithSpaces>2707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2023-10-03T06:23:00Z</dcterms:created>
  <dc:creator>prevadzka</dc:creator>
  <dc:description/>
  <dc:language>sk-SK</dc:language>
  <cp:lastModifiedBy/>
  <cp:lastPrinted>2023-11-21T12:40:50Z</cp:lastPrinted>
  <dcterms:modified xsi:type="dcterms:W3CDTF">2023-11-21T12:42:17Z</dcterms:modified>
  <cp:revision>14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