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060/001/2024/00809/U</w:t>
      </w:r>
    </w:p>
    <w:tbl>
      <w:tblPr>
        <w:tblW w:w="102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50"/>
        <w:gridCol w:w="1540"/>
        <w:gridCol w:w="2276"/>
        <w:gridCol w:w="442"/>
        <w:gridCol w:w="342"/>
        <w:gridCol w:w="803"/>
        <w:gridCol w:w="530"/>
        <w:gridCol w:w="1003"/>
        <w:gridCol w:w="846"/>
        <w:gridCol w:w="1729"/>
      </w:tblGrid>
      <w:tr>
        <w:trPr>
          <w:trHeight w:val="624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 MPH</w:t>
            </w:r>
          </w:p>
        </w:tc>
      </w:tr>
      <w:tr>
        <w:trPr>
          <w:trHeight w:val="39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39132100-7</w:t>
            </w:r>
          </w:p>
        </w:tc>
      </w:tr>
      <w:tr>
        <w:trPr>
          <w:trHeight w:val="85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za jed.v € bez DPH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469027- Kovová skriňa 1200x1200x450mm svetlo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434059- Nástenná nerezová polica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3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OĽZ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MUDr. Juraj Kacian MPH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 WEB: 18.3.2024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20.3.2024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Katarína Urbanová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 xml:space="preserve"> nemožno</w:t>
            </w:r>
            <w:r>
              <w:rPr>
                <w:b/>
                <w:strike w:val="false"/>
                <w:dstrike w:val="false"/>
                <w:sz w:val="22"/>
                <w:szCs w:val="22"/>
                <w:vertAlign w:val="superscript"/>
                <w:lang w:eastAsia="en-US"/>
              </w:rPr>
              <w:t>*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1"/>
      <w:gridCol w:w="7258"/>
      <w:gridCol w:w="1854"/>
    </w:tblGrid>
    <w:tr>
      <w:trPr>
        <w:trHeight w:val="562" w:hRule="atLeast"/>
      </w:trPr>
      <w:tc>
        <w:tcPr>
          <w:tcW w:w="11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LibreOffice/7.4.1.2$Windows_X86_64 LibreOffice_project/3c58a8f3a960df8bc8fd77b461821e42c061c5f0</Application>
  <AppVersion>15.0000</AppVersion>
  <Pages>2</Pages>
  <Words>299</Words>
  <Characters>1983</Characters>
  <CharactersWithSpaces>2227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2024-03-18T10:40:33Z</cp:lastPrinted>
  <dcterms:modified xsi:type="dcterms:W3CDTF">2024-03-18T10:41:16Z</dcterms:modified>
  <cp:revision>45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