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670A99">
        <w:rPr>
          <w:sz w:val="28"/>
          <w:szCs w:val="28"/>
        </w:rPr>
        <w:t>7</w:t>
      </w:r>
      <w:r w:rsidR="00BE3D2B">
        <w:rPr>
          <w:sz w:val="28"/>
          <w:szCs w:val="28"/>
        </w:rPr>
        <w:t>51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0E102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D2B" w:rsidRPr="004A3E72" w:rsidRDefault="00BE3D2B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D2B" w:rsidRDefault="00BE3D2B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0E1020" w:rsidRDefault="00F717C4" w:rsidP="00BE3D2B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BE3D2B">
              <w:rPr>
                <w:rFonts w:eastAsia="Arial" w:cs="Arial"/>
                <w:szCs w:val="24"/>
              </w:rPr>
              <w:t>opravu + výmenu tesnení</w:t>
            </w:r>
          </w:p>
          <w:p w:rsidR="00BE3D2B" w:rsidRDefault="00BE3D2B" w:rsidP="00BE3D2B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dverí na </w:t>
            </w:r>
            <w:proofErr w:type="spellStart"/>
            <w:r>
              <w:rPr>
                <w:rFonts w:eastAsia="Arial" w:cs="Arial"/>
                <w:szCs w:val="24"/>
              </w:rPr>
              <w:t>autoklávoch</w:t>
            </w:r>
            <w:proofErr w:type="spellEnd"/>
            <w:r>
              <w:rPr>
                <w:rFonts w:eastAsia="Arial" w:cs="Arial"/>
                <w:szCs w:val="24"/>
              </w:rPr>
              <w:t xml:space="preserve"> č.1,2,3,4</w:t>
            </w:r>
            <w:r w:rsidR="00E34F56">
              <w:rPr>
                <w:rFonts w:eastAsia="Arial" w:cs="Arial"/>
                <w:szCs w:val="24"/>
              </w:rPr>
              <w:t xml:space="preserve"> / pozitívne</w:t>
            </w:r>
          </w:p>
          <w:p w:rsidR="00E34F56" w:rsidRDefault="00E34F56" w:rsidP="00BE3D2B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kontrolné </w:t>
            </w:r>
            <w:proofErr w:type="spellStart"/>
            <w:r>
              <w:rPr>
                <w:rFonts w:eastAsia="Arial" w:cs="Arial"/>
                <w:szCs w:val="24"/>
              </w:rPr>
              <w:t>vákum</w:t>
            </w:r>
            <w:proofErr w:type="spellEnd"/>
            <w:r>
              <w:rPr>
                <w:rFonts w:eastAsia="Arial" w:cs="Arial"/>
                <w:szCs w:val="24"/>
              </w:rPr>
              <w:t xml:space="preserve"> testy /</w:t>
            </w:r>
          </w:p>
          <w:p w:rsidR="00BE3D2B" w:rsidRDefault="00BE3D2B" w:rsidP="00BE3D2B">
            <w:pPr>
              <w:rPr>
                <w:rFonts w:eastAsia="Arial" w:cs="Arial"/>
                <w:szCs w:val="24"/>
              </w:rPr>
            </w:pPr>
          </w:p>
          <w:p w:rsidR="00BE3D2B" w:rsidRPr="000E1020" w:rsidRDefault="00BE3D2B" w:rsidP="00BE3D2B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  centrálna sterilizácia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0E1020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0E1020" w:rsidRDefault="00BE3D2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Dátum WEB :                   1.10.2019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 3.10.2019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52B" w:rsidRDefault="004B652B">
      <w:r>
        <w:separator/>
      </w:r>
    </w:p>
  </w:endnote>
  <w:endnote w:type="continuationSeparator" w:id="0">
    <w:p w:rsidR="004B652B" w:rsidRDefault="004B6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52B" w:rsidRDefault="004B652B">
      <w:r>
        <w:separator/>
      </w:r>
    </w:p>
  </w:footnote>
  <w:footnote w:type="continuationSeparator" w:id="0">
    <w:p w:rsidR="004B652B" w:rsidRDefault="004B6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15E4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34F56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42</cp:revision>
  <cp:lastPrinted>2019-10-01T08:02:00Z</cp:lastPrinted>
  <dcterms:created xsi:type="dcterms:W3CDTF">2019-06-06T10:27:00Z</dcterms:created>
  <dcterms:modified xsi:type="dcterms:W3CDTF">2019-10-01T08:02:00Z</dcterms:modified>
</cp:coreProperties>
</file>